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eastAsia="方正小标宋简体"/>
          <w:bCs/>
          <w:sz w:val="40"/>
          <w:szCs w:val="40"/>
        </w:rPr>
      </w:pPr>
      <w:bookmarkStart w:id="0" w:name="_GoBack"/>
      <w:r>
        <w:rPr>
          <w:rFonts w:eastAsia="方正小标宋简体"/>
          <w:bCs/>
          <w:sz w:val="40"/>
          <w:szCs w:val="40"/>
        </w:rPr>
        <w:t>202</w:t>
      </w:r>
      <w:r>
        <w:rPr>
          <w:rFonts w:hint="eastAsia" w:eastAsia="方正小标宋简体"/>
          <w:bCs/>
          <w:sz w:val="40"/>
          <w:szCs w:val="40"/>
          <w:lang w:eastAsia="zh-CN"/>
        </w:rPr>
        <w:t>1</w:t>
      </w:r>
      <w:r>
        <w:rPr>
          <w:rFonts w:eastAsia="方正小标宋简体"/>
          <w:bCs/>
          <w:sz w:val="40"/>
          <w:szCs w:val="40"/>
        </w:rPr>
        <w:t>年“安全生产月”和“安全生产益阳行”活动进展情况统计表</w:t>
      </w:r>
      <w:bookmarkEnd w:id="0"/>
    </w:p>
    <w:p>
      <w:pPr>
        <w:pStyle w:val="5"/>
        <w:ind w:left="0" w:leftChars="0" w:firstLine="0" w:firstLineChars="0"/>
        <w:rPr>
          <w:rFonts w:eastAsia="方正仿宋简体"/>
          <w:bCs/>
          <w:sz w:val="28"/>
          <w:szCs w:val="28"/>
        </w:rPr>
      </w:pPr>
      <w:r>
        <w:rPr>
          <w:rFonts w:eastAsia="方正仿宋简体"/>
          <w:bCs/>
          <w:sz w:val="28"/>
          <w:szCs w:val="28"/>
        </w:rPr>
        <w:t>填报单位（盖章）：</w:t>
      </w:r>
      <w:r>
        <w:rPr>
          <w:rFonts w:eastAsia="方正仿宋简体"/>
          <w:bCs/>
          <w:sz w:val="28"/>
          <w:szCs w:val="28"/>
          <w:u w:val="single"/>
        </w:rPr>
        <w:t xml:space="preserve">        　　　　　　   </w:t>
      </w:r>
      <w:r>
        <w:rPr>
          <w:rFonts w:eastAsia="方正仿宋简体"/>
          <w:bCs/>
          <w:sz w:val="28"/>
          <w:szCs w:val="28"/>
        </w:rPr>
        <w:t>联系人：</w:t>
      </w:r>
      <w:r>
        <w:rPr>
          <w:rFonts w:eastAsia="方正仿宋简体"/>
          <w:bCs/>
          <w:sz w:val="28"/>
          <w:szCs w:val="28"/>
          <w:u w:val="single"/>
        </w:rPr>
        <w:t xml:space="preserve">    　　 </w:t>
      </w:r>
      <w:r>
        <w:rPr>
          <w:rFonts w:eastAsia="方正仿宋简体"/>
          <w:bCs/>
          <w:sz w:val="28"/>
          <w:szCs w:val="28"/>
        </w:rPr>
        <w:t>电话：</w:t>
      </w:r>
      <w:r>
        <w:rPr>
          <w:rFonts w:eastAsia="方正仿宋简体"/>
          <w:bCs/>
          <w:sz w:val="28"/>
          <w:szCs w:val="28"/>
          <w:u w:val="single"/>
        </w:rPr>
        <w:t xml:space="preserve">  　　   </w:t>
      </w:r>
      <w:r>
        <w:rPr>
          <w:rFonts w:eastAsia="方正仿宋简体"/>
          <w:bCs/>
          <w:sz w:val="28"/>
          <w:szCs w:val="28"/>
        </w:rPr>
        <w:t>填报日期：</w:t>
      </w:r>
      <w:r>
        <w:rPr>
          <w:rFonts w:eastAsia="方正仿宋简体"/>
          <w:bCs/>
          <w:sz w:val="28"/>
          <w:szCs w:val="28"/>
          <w:u w:val="single"/>
        </w:rPr>
        <w:t xml:space="preserve">  　　    </w:t>
      </w:r>
    </w:p>
    <w:tbl>
      <w:tblPr>
        <w:tblStyle w:val="6"/>
        <w:tblW w:w="1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7230"/>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val="0"/>
            <w:vAlign w:val="top"/>
          </w:tcPr>
          <w:p>
            <w:pPr>
              <w:pStyle w:val="4"/>
              <w:spacing w:line="560" w:lineRule="exact"/>
              <w:ind w:right="140"/>
              <w:jc w:val="center"/>
              <w:rPr>
                <w:rFonts w:ascii="黑体" w:hAnsi="黑体" w:eastAsia="黑体" w:cs="黑体"/>
                <w:color w:val="000000"/>
                <w:sz w:val="30"/>
                <w:szCs w:val="30"/>
              </w:rPr>
            </w:pPr>
            <w:r>
              <w:rPr>
                <w:rFonts w:hint="eastAsia" w:ascii="黑体" w:hAnsi="黑体" w:eastAsia="黑体" w:cs="黑体"/>
                <w:color w:val="000000"/>
                <w:sz w:val="30"/>
                <w:szCs w:val="30"/>
              </w:rPr>
              <w:t>活动项目</w:t>
            </w:r>
          </w:p>
        </w:tc>
        <w:tc>
          <w:tcPr>
            <w:tcW w:w="7230" w:type="dxa"/>
            <w:tcBorders>
              <w:top w:val="single" w:color="auto" w:sz="4" w:space="0"/>
              <w:left w:val="single" w:color="auto" w:sz="4" w:space="0"/>
              <w:bottom w:val="single" w:color="auto" w:sz="4" w:space="0"/>
              <w:right w:val="single" w:color="auto" w:sz="4" w:space="0"/>
            </w:tcBorders>
            <w:noWrap w:val="0"/>
            <w:vAlign w:val="top"/>
          </w:tcPr>
          <w:p>
            <w:pPr>
              <w:pStyle w:val="4"/>
              <w:spacing w:line="560" w:lineRule="exact"/>
              <w:ind w:right="140"/>
              <w:jc w:val="center"/>
              <w:rPr>
                <w:rFonts w:ascii="黑体" w:hAnsi="黑体" w:eastAsia="黑体" w:cs="黑体"/>
                <w:color w:val="000000"/>
                <w:sz w:val="30"/>
                <w:szCs w:val="30"/>
              </w:rPr>
            </w:pPr>
            <w:r>
              <w:rPr>
                <w:rFonts w:hint="eastAsia" w:ascii="黑体" w:hAnsi="黑体" w:eastAsia="黑体" w:cs="黑体"/>
                <w:color w:val="000000"/>
                <w:sz w:val="30"/>
                <w:szCs w:val="30"/>
              </w:rPr>
              <w:t>内容要求</w:t>
            </w:r>
          </w:p>
        </w:tc>
        <w:tc>
          <w:tcPr>
            <w:tcW w:w="4316" w:type="dxa"/>
            <w:tcBorders>
              <w:top w:val="single" w:color="auto" w:sz="4" w:space="0"/>
              <w:left w:val="single" w:color="auto" w:sz="4" w:space="0"/>
              <w:bottom w:val="single" w:color="auto" w:sz="4" w:space="0"/>
              <w:right w:val="single" w:color="auto" w:sz="4" w:space="0"/>
            </w:tcBorders>
            <w:noWrap w:val="0"/>
            <w:vAlign w:val="top"/>
          </w:tcPr>
          <w:p>
            <w:pPr>
              <w:pStyle w:val="4"/>
              <w:spacing w:line="560" w:lineRule="exact"/>
              <w:ind w:right="140"/>
              <w:jc w:val="center"/>
              <w:rPr>
                <w:rFonts w:ascii="黑体" w:hAnsi="黑体" w:eastAsia="黑体" w:cs="黑体"/>
                <w:color w:val="000000"/>
                <w:sz w:val="30"/>
                <w:szCs w:val="30"/>
              </w:rPr>
            </w:pPr>
            <w:r>
              <w:rPr>
                <w:rFonts w:hint="eastAsia" w:ascii="黑体" w:hAnsi="黑体" w:eastAsia="黑体" w:cs="黑体"/>
                <w:color w:val="000000"/>
                <w:sz w:val="30"/>
                <w:szCs w:val="3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30"/>
                <w:szCs w:val="30"/>
              </w:rPr>
            </w:pPr>
            <w:r>
              <w:rPr>
                <w:rFonts w:ascii="Times New Roman" w:hAnsi="Times New Roman" w:eastAsia="方正仿宋简体" w:cs="Times New Roman"/>
                <w:b/>
                <w:bCs/>
                <w:color w:val="000000"/>
                <w:sz w:val="28"/>
                <w:szCs w:val="28"/>
              </w:rPr>
              <w:t>推动学习习近平总书记关于安全生产重要论述精神走深走实</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1"/>
              </w:numPr>
              <w:snapToGrid w:val="0"/>
              <w:spacing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开设一个专栏。协调媒体在报、网、墙、微等平台开设专栏，深入宣传习近平总书记关于安全生产重要论述。</w:t>
            </w:r>
          </w:p>
          <w:p>
            <w:pPr>
              <w:pStyle w:val="4"/>
              <w:numPr>
                <w:ilvl w:val="0"/>
                <w:numId w:val="1"/>
              </w:numPr>
              <w:snapToGrid w:val="0"/>
              <w:spacing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开展一次学习。协调推动各级党委理论学习中心组开展1次习近平总书记关于安全生产重要论述专题学习，学习《下好先手棋打好主动仗——习近平总书记关于防范化解重大风险重要论述综述》。</w:t>
            </w:r>
          </w:p>
          <w:p>
            <w:pPr>
              <w:pStyle w:val="4"/>
              <w:numPr>
                <w:ilvl w:val="0"/>
                <w:numId w:val="1"/>
              </w:numPr>
              <w:snapToGrid w:val="0"/>
              <w:spacing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组织一场宣贯。组织辖区交通运输企业主要负责人深入学习习近平总书记关于安全生产重要论述，牢固树立安全发展理念，坚守安全发展红线。</w:t>
            </w:r>
          </w:p>
          <w:p>
            <w:pPr>
              <w:pStyle w:val="4"/>
              <w:numPr>
                <w:ilvl w:val="0"/>
                <w:numId w:val="1"/>
              </w:numPr>
              <w:snapToGrid w:val="0"/>
              <w:spacing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观看一部电视专题片。按要求及时组织观看《生命重于泰山——学习习近平总书记关于安全生产重要论述》电视专题片。</w:t>
            </w:r>
          </w:p>
          <w:p>
            <w:pPr>
              <w:pStyle w:val="4"/>
              <w:numPr>
                <w:ilvl w:val="0"/>
                <w:numId w:val="1"/>
              </w:numPr>
              <w:snapToGrid w:val="0"/>
              <w:spacing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组织一次讲座。各单位和交通运输企业组织开展安全生产“大讲堂”“大家谈”“公开课”“微课堂”和在线访谈、基层宣讲等，深入宣讲安全生产知识。</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1.开设专栏（）个，刊发稿件（）篇；</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2.理论学习中心组学习（ ）次，参与（ ）人次；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3.组织辖区企业主要负责人学习习近平总书记关于安全生产重要论述（）次，参与（）人；</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4.专题学习《生命重于泰山——学习习近平总书记关于安全生产重要论述》电视专题片 □是□否；组织集中学习观看（ ）场，参与（ ）人次；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5.开展安全生产“大讲堂”“大家谈”“公开课”“微课堂”和在线访谈、基层宣讲（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28"/>
                <w:szCs w:val="28"/>
              </w:rPr>
            </w:pPr>
            <w:r>
              <w:rPr>
                <w:rFonts w:ascii="Times New Roman" w:hAnsi="Times New Roman" w:eastAsia="方正仿宋简体" w:cs="Times New Roman"/>
                <w:b/>
                <w:bCs/>
                <w:color w:val="000000"/>
                <w:sz w:val="28"/>
                <w:szCs w:val="28"/>
              </w:rPr>
              <w:t>深化防范化解安全生产重大风险</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2"/>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对辖区内行业领域安全隐患进行认真梳理、建立台账，分别明确整改要求、整改责任人员，确保无死角、无漏洞、无盲区，落实到基层企业。</w:t>
            </w:r>
          </w:p>
          <w:p>
            <w:pPr>
              <w:pStyle w:val="4"/>
              <w:numPr>
                <w:ilvl w:val="0"/>
                <w:numId w:val="2"/>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广泛发动企业员工开展“安全红袖章”“事故隐患大扫除”“争做安全吹哨人”等行动，共同参与风险辨识和隐患排查。</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3"/>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发现隐患（）个，建立隐患整改台账（明确整改责任人清单）（）本。</w:t>
            </w:r>
          </w:p>
          <w:p>
            <w:pPr>
              <w:pStyle w:val="4"/>
              <w:numPr>
                <w:ilvl w:val="0"/>
                <w:numId w:val="3"/>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企业开展“安全红袖章”“事故隐患大扫除”“争做安全吹哨人”等活动（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30"/>
                <w:szCs w:val="30"/>
              </w:rPr>
            </w:pPr>
            <w:r>
              <w:rPr>
                <w:rFonts w:ascii="Times New Roman" w:hAnsi="Times New Roman" w:eastAsia="方正仿宋简体" w:cs="Times New Roman"/>
                <w:b/>
                <w:bCs/>
                <w:color w:val="000000"/>
                <w:sz w:val="28"/>
                <w:szCs w:val="28"/>
              </w:rPr>
              <w:t>宣传“专项整治攻坚战”</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240" w:lineRule="atLeast"/>
              <w:ind w:right="142" w:firstLine="560" w:firstLineChars="200"/>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通过媒体开设“安全生产专项整治三年行动”专栏，重点报道交通运输专项整治三年行动的工作意义、任务进展、工作成效情况，重点宣传推广安全生产责任落实和安全诚信、安全承诺、专家服务、精准执法、举报奖励、行刑衔接等经验做法，以及安全生产日常执法、双随机执法、专项整治、打非治违、督查暗访等工作，不断增强安全生产专项整治三年行动的社会影响力。</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1.组织媒体报道集中攻坚重点任务进展情况、工作成效等（ ）次，刊发新闻报道（ ）篇；</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2.宣传推广经验做法（ ）个，看法举报奖励、行刑衔接案例（）个，刊发新闻报道（ ）篇。</w:t>
            </w:r>
          </w:p>
          <w:p>
            <w:pPr>
              <w:pStyle w:val="4"/>
              <w:snapToGrid w:val="0"/>
              <w:spacing w:before="0" w:beforeAutospacing="0" w:after="0" w:afterAutospacing="0" w:line="240" w:lineRule="atLeast"/>
              <w:ind w:right="142" w:firstLine="560" w:firstLineChars="200"/>
              <w:jc w:val="both"/>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28"/>
                <w:szCs w:val="28"/>
              </w:rPr>
            </w:pPr>
            <w:r>
              <w:rPr>
                <w:rFonts w:ascii="Times New Roman" w:hAnsi="Times New Roman" w:eastAsia="方正仿宋简体" w:cs="Times New Roman"/>
                <w:b/>
                <w:bCs/>
                <w:color w:val="000000"/>
                <w:sz w:val="28"/>
                <w:szCs w:val="28"/>
              </w:rPr>
              <w:t>深化“安全生产</w:t>
            </w:r>
            <w:r>
              <w:rPr>
                <w:rFonts w:hint="eastAsia" w:ascii="Times New Roman" w:hAnsi="Times New Roman" w:eastAsia="方正仿宋简体" w:cs="Times New Roman"/>
                <w:b/>
                <w:bCs/>
                <w:color w:val="000000"/>
                <w:sz w:val="28"/>
                <w:szCs w:val="28"/>
              </w:rPr>
              <w:t>益阳</w:t>
            </w:r>
            <w:r>
              <w:rPr>
                <w:rFonts w:ascii="Times New Roman" w:hAnsi="Times New Roman" w:eastAsia="方正仿宋简体" w:cs="Times New Roman"/>
                <w:b/>
                <w:bCs/>
                <w:color w:val="000000"/>
                <w:sz w:val="28"/>
                <w:szCs w:val="28"/>
              </w:rPr>
              <w:t>行”</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4"/>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隐患曝光专题行。在广播、电视、报纸、互联网、微信公众号等媒体开设一个曝光台，定期曝光非法违法行为，并及时向厅安委办报送曝光情况。</w:t>
            </w:r>
          </w:p>
          <w:p>
            <w:pPr>
              <w:pStyle w:val="4"/>
              <w:numPr>
                <w:ilvl w:val="0"/>
                <w:numId w:val="4"/>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举报奖励专题行。在重点企业设置1至2块“打非治违”固定宣传标牌，鼓励企业员工充当“吹哨人”举报身边隐患。</w:t>
            </w:r>
          </w:p>
          <w:p>
            <w:pPr>
              <w:pStyle w:val="4"/>
              <w:numPr>
                <w:ilvl w:val="0"/>
                <w:numId w:val="4"/>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警示教育专题行。通过制作播放警示教育片、编印事故案例、参观事故警示教育展览等方式，以案说法引导交通运输企业和广大从业人员深刻吸取事故教训。组织观看《不可逾越的红线》警示片。鼓励组织安全生产专家、记者、志愿者，深入企业暗访发现隐患，制作成警示片，进行警示曝光。</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1.在媒体开设曝光台（）个，曝光问题隐患（）条，本级主流媒体曝光典型案例（）个，媒体转发报道（）篇，在省级主流媒体曝光典型案例（）个；典型案例具体为（），每月报送；</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2.在企业设置举报隐患宣传标牌（）块，举报隐患（）条；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3.制作警示教育片，</w:t>
            </w:r>
            <w:r>
              <w:rPr>
                <w:rFonts w:ascii="Times New Roman" w:hAnsi="Times New Roman" w:eastAsia="方正仿宋简体" w:cs="Times New Roman"/>
                <w:color w:val="000000"/>
                <w:sz w:val="28"/>
                <w:szCs w:val="28"/>
              </w:rPr>
              <w:sym w:font="Wingdings 2" w:char="F0A3"/>
            </w:r>
            <w:r>
              <w:rPr>
                <w:rFonts w:ascii="Times New Roman" w:hAnsi="Times New Roman" w:eastAsia="方正仿宋简体" w:cs="Times New Roman"/>
                <w:color w:val="000000"/>
                <w:sz w:val="28"/>
                <w:szCs w:val="28"/>
              </w:rPr>
              <w:t>是</w:t>
            </w:r>
            <w:r>
              <w:rPr>
                <w:rFonts w:ascii="Times New Roman" w:hAnsi="Times New Roman" w:eastAsia="方正仿宋简体" w:cs="Times New Roman"/>
                <w:color w:val="000000"/>
                <w:sz w:val="28"/>
                <w:szCs w:val="28"/>
              </w:rPr>
              <w:sym w:font="Wingdings 2" w:char="F0A3"/>
            </w:r>
            <w:r>
              <w:rPr>
                <w:rFonts w:ascii="Times New Roman" w:hAnsi="Times New Roman" w:eastAsia="方正仿宋简体" w:cs="Times New Roman"/>
                <w:color w:val="000000"/>
                <w:sz w:val="28"/>
                <w:szCs w:val="28"/>
              </w:rPr>
              <w:t>否。编印事故案例，□是□否。组织观看典型事故警示教育片（）场，参与（）人次：组织参观警示教育展览（）场，参与（）人次；企业员工举报重大隐患和违法违规行为（）条次；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4.开展专题行（）次、区域行（）次、网上行（）次；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5.鼓励组织专家、记者，深入企 业暗访发现隐思，制作成警示片内部曝光。□是□否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28"/>
                <w:szCs w:val="28"/>
              </w:rPr>
            </w:pPr>
            <w:r>
              <w:rPr>
                <w:rFonts w:ascii="Times New Roman" w:hAnsi="Times New Roman" w:eastAsia="方正仿宋简体" w:cs="Times New Roman"/>
                <w:b/>
                <w:bCs/>
                <w:color w:val="000000"/>
                <w:sz w:val="28"/>
                <w:szCs w:val="28"/>
              </w:rPr>
              <w:t>“6·16安全宣传咨询日”活动</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5"/>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邀请当地主流媒体和网络直播平台走进企业，开展“主播走一线”等专题专访报道活动，增进社会公众对安全生产的认识和理解。</w:t>
            </w:r>
          </w:p>
          <w:p>
            <w:pPr>
              <w:pStyle w:val="4"/>
              <w:numPr>
                <w:ilvl w:val="0"/>
                <w:numId w:val="5"/>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结合地区和行业实际，创造性开展“公众开放日”“专家云问诊”“安全快闪”等线上活动。</w:t>
            </w:r>
          </w:p>
          <w:p>
            <w:pPr>
              <w:pStyle w:val="4"/>
              <w:numPr>
                <w:ilvl w:val="0"/>
                <w:numId w:val="5"/>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深入学校、企业、广场等人员密集场所开展面对面安全咨询活动，通过发放宣传品、讲解安全知识、开展安全体验等方式，向社会公众普及安全知识、救灾避险方法等。</w:t>
            </w:r>
          </w:p>
          <w:p>
            <w:pPr>
              <w:pStyle w:val="4"/>
              <w:numPr>
                <w:ilvl w:val="0"/>
                <w:numId w:val="5"/>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积极参与应急部“回顾安全生产月20年”网上展览和“测测你的安全力”知识竞赛，“6·16我问你答”“接力传安全一我为安全生产倡议”等活动，引导公众学习应急知识，提升安全技能。</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6"/>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邀请主流媒体和网络直播平台开展“主播走一线”等专题专访报道活动（ ）场；</w:t>
            </w:r>
          </w:p>
          <w:p>
            <w:pPr>
              <w:pStyle w:val="4"/>
              <w:numPr>
                <w:ilvl w:val="0"/>
                <w:numId w:val="6"/>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创新开展线上活动（）场，参与（）人次；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3.开展安全宣传咨询活动（ ）场，参与（ ）人次；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4.参与网上展览（ ）人次，参与知识竞赛（ ）人次、参与“走进安全体验场馆”（ ）人次，参与直播答题（ ）人次,参与“接力传安全——我为安全生产倡议”（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56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560" w:lineRule="exact"/>
              <w:ind w:right="142"/>
              <w:jc w:val="center"/>
              <w:rPr>
                <w:rFonts w:ascii="Times New Roman" w:hAnsi="Times New Roman" w:eastAsia="方正仿宋简体" w:cs="Times New Roman"/>
                <w:b/>
                <w:bCs/>
                <w:color w:val="000000"/>
                <w:sz w:val="28"/>
                <w:szCs w:val="28"/>
              </w:rPr>
            </w:pPr>
            <w:r>
              <w:rPr>
                <w:rFonts w:ascii="Times New Roman" w:hAnsi="Times New Roman" w:eastAsia="方正仿宋简体" w:cs="Times New Roman"/>
                <w:b/>
                <w:bCs/>
                <w:color w:val="000000"/>
                <w:sz w:val="28"/>
                <w:szCs w:val="28"/>
              </w:rPr>
              <w:t>推进安全宣传“五进”活动</w:t>
            </w:r>
          </w:p>
        </w:tc>
        <w:tc>
          <w:tcPr>
            <w:tcW w:w="7230"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7"/>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进企业，广泛开展“安全行为红黑榜”“我是安全培训师”“安全生产特色工作法征集”等安全文化示范企业创建活动。</w:t>
            </w:r>
          </w:p>
          <w:p>
            <w:pPr>
              <w:pStyle w:val="4"/>
              <w:numPr>
                <w:ilvl w:val="0"/>
                <w:numId w:val="7"/>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进农村，对农村群众开展交通运输安全知识普及教育。</w:t>
            </w:r>
          </w:p>
          <w:p>
            <w:pPr>
              <w:pStyle w:val="4"/>
              <w:numPr>
                <w:ilvl w:val="0"/>
                <w:numId w:val="7"/>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进社区，积极与湖南公共频道等媒体合作，以“快乐社区365”等活动平台为载体，通过线上践下活动，推进安全应急知识在社区普及。</w:t>
            </w:r>
          </w:p>
          <w:p>
            <w:pPr>
              <w:pStyle w:val="4"/>
              <w:numPr>
                <w:ilvl w:val="0"/>
                <w:numId w:val="7"/>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进学校，联合教育等部门，组织开展安全知识进校园活动；利用应急科普宣传教育和安全体验基地，组织学校开展安全体验教育。</w:t>
            </w:r>
          </w:p>
          <w:p>
            <w:pPr>
              <w:pStyle w:val="4"/>
              <w:numPr>
                <w:ilvl w:val="0"/>
                <w:numId w:val="7"/>
              </w:numPr>
              <w:snapToGrid w:val="0"/>
              <w:spacing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进家庭，开发制作科普知识读本、微课堂、微视频、小游戏等寓教于乐的安全宣传产品，推动安全宣传进家庭。</w:t>
            </w:r>
          </w:p>
        </w:tc>
        <w:tc>
          <w:tcPr>
            <w:tcW w:w="4316"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8"/>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开展“安全行为红黑榜”“我是安全培训师”“安全生产特色工作法征集”等安全文化示范企业创建活动（ ）场，参与（ ）人次；</w:t>
            </w:r>
          </w:p>
          <w:p>
            <w:pPr>
              <w:pStyle w:val="4"/>
              <w:numPr>
                <w:ilvl w:val="0"/>
                <w:numId w:val="8"/>
              </w:numPr>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普及安全知识（）次，受众（）人；</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3.参与“快乐社区365” □是□否；制作各类安全宣传产品（ ）部，开展灾害避险逃生、自救互救演练（ ）场，参与（ ）人次；</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4.应急科普宣传教育和安全体验基地建设情况，新建（ ）个，改扩建（ ）个，计划（ ）个，其他（ ）个；</w:t>
            </w:r>
          </w:p>
          <w:p>
            <w:pPr>
              <w:pStyle w:val="4"/>
              <w:snapToGrid w:val="0"/>
              <w:spacing w:before="0" w:beforeAutospacing="0" w:after="0" w:afterAutospacing="0" w:line="240" w:lineRule="atLeast"/>
              <w:ind w:right="142"/>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5.使用全国安全宣传和应急科普平台 □是□否</w:t>
            </w:r>
          </w:p>
        </w:tc>
      </w:tr>
    </w:tbl>
    <w:p>
      <w:pPr>
        <w:spacing w:line="560" w:lineRule="exact"/>
        <w:rPr>
          <w:rFonts w:eastAsia="仿宋_GB2312"/>
          <w:sz w:val="24"/>
        </w:rPr>
        <w:sectPr>
          <w:pgSz w:w="16838" w:h="11906" w:orient="landscape"/>
          <w:pgMar w:top="1588" w:right="2098" w:bottom="1474" w:left="1985" w:header="851" w:footer="992" w:gutter="0"/>
          <w:pgNumType w:fmt="numberInDash"/>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Verdana"/>
    <w:panose1 w:val="02010600030101010101"/>
    <w:charset w:val="00"/>
    <w:family w:val="auto"/>
    <w:pitch w:val="default"/>
    <w:sig w:usb0="00000000" w:usb1="00000000" w:usb2="00000000" w:usb3="00000000" w:csb0="00000001"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77490"/>
    <w:multiLevelType w:val="singleLevel"/>
    <w:tmpl w:val="9CF77490"/>
    <w:lvl w:ilvl="0" w:tentative="0">
      <w:start w:val="1"/>
      <w:numFmt w:val="decimal"/>
      <w:lvlText w:val="%1."/>
      <w:lvlJc w:val="left"/>
      <w:pPr>
        <w:tabs>
          <w:tab w:val="left" w:pos="312"/>
        </w:tabs>
      </w:pPr>
      <w:rPr>
        <w:rFonts w:cs="Times New Roman"/>
      </w:rPr>
    </w:lvl>
  </w:abstractNum>
  <w:abstractNum w:abstractNumId="1">
    <w:nsid w:val="B71F18E4"/>
    <w:multiLevelType w:val="singleLevel"/>
    <w:tmpl w:val="B71F18E4"/>
    <w:lvl w:ilvl="0" w:tentative="0">
      <w:start w:val="1"/>
      <w:numFmt w:val="decimal"/>
      <w:lvlText w:val="%1."/>
      <w:lvlJc w:val="left"/>
      <w:pPr>
        <w:tabs>
          <w:tab w:val="left" w:pos="312"/>
        </w:tabs>
      </w:pPr>
      <w:rPr>
        <w:rFonts w:cs="Times New Roman"/>
      </w:rPr>
    </w:lvl>
  </w:abstractNum>
  <w:abstractNum w:abstractNumId="2">
    <w:nsid w:val="B8F874F8"/>
    <w:multiLevelType w:val="singleLevel"/>
    <w:tmpl w:val="B8F874F8"/>
    <w:lvl w:ilvl="0" w:tentative="0">
      <w:start w:val="1"/>
      <w:numFmt w:val="decimal"/>
      <w:lvlText w:val="%1."/>
      <w:lvlJc w:val="left"/>
      <w:pPr>
        <w:tabs>
          <w:tab w:val="left" w:pos="312"/>
        </w:tabs>
      </w:pPr>
      <w:rPr>
        <w:rFonts w:cs="Times New Roman"/>
      </w:rPr>
    </w:lvl>
  </w:abstractNum>
  <w:abstractNum w:abstractNumId="3">
    <w:nsid w:val="DFFAF298"/>
    <w:multiLevelType w:val="singleLevel"/>
    <w:tmpl w:val="DFFAF298"/>
    <w:lvl w:ilvl="0" w:tentative="0">
      <w:start w:val="1"/>
      <w:numFmt w:val="decimal"/>
      <w:lvlText w:val="%1."/>
      <w:lvlJc w:val="left"/>
      <w:pPr>
        <w:tabs>
          <w:tab w:val="left" w:pos="312"/>
        </w:tabs>
      </w:pPr>
      <w:rPr>
        <w:rFonts w:cs="Times New Roman"/>
      </w:rPr>
    </w:lvl>
  </w:abstractNum>
  <w:abstractNum w:abstractNumId="4">
    <w:nsid w:val="FC7DA58D"/>
    <w:multiLevelType w:val="singleLevel"/>
    <w:tmpl w:val="FC7DA58D"/>
    <w:lvl w:ilvl="0" w:tentative="0">
      <w:start w:val="1"/>
      <w:numFmt w:val="decimal"/>
      <w:lvlText w:val="%1."/>
      <w:lvlJc w:val="left"/>
      <w:pPr>
        <w:tabs>
          <w:tab w:val="left" w:pos="312"/>
        </w:tabs>
      </w:pPr>
      <w:rPr>
        <w:rFonts w:cs="Times New Roman"/>
      </w:rPr>
    </w:lvl>
  </w:abstractNum>
  <w:abstractNum w:abstractNumId="5">
    <w:nsid w:val="FD9E5542"/>
    <w:multiLevelType w:val="singleLevel"/>
    <w:tmpl w:val="FD9E5542"/>
    <w:lvl w:ilvl="0" w:tentative="0">
      <w:start w:val="1"/>
      <w:numFmt w:val="decimal"/>
      <w:lvlText w:val="%1."/>
      <w:lvlJc w:val="left"/>
      <w:pPr>
        <w:tabs>
          <w:tab w:val="left" w:pos="312"/>
        </w:tabs>
      </w:pPr>
      <w:rPr>
        <w:rFonts w:cs="Times New Roman"/>
      </w:rPr>
    </w:lvl>
  </w:abstractNum>
  <w:abstractNum w:abstractNumId="6">
    <w:nsid w:val="3CFE49CB"/>
    <w:multiLevelType w:val="singleLevel"/>
    <w:tmpl w:val="3CFE49CB"/>
    <w:lvl w:ilvl="0" w:tentative="0">
      <w:start w:val="1"/>
      <w:numFmt w:val="decimal"/>
      <w:lvlText w:val="%1."/>
      <w:lvlJc w:val="left"/>
      <w:pPr>
        <w:tabs>
          <w:tab w:val="left" w:pos="312"/>
        </w:tabs>
      </w:pPr>
      <w:rPr>
        <w:rFonts w:cs="Times New Roman"/>
      </w:rPr>
    </w:lvl>
  </w:abstractNum>
  <w:abstractNum w:abstractNumId="7">
    <w:nsid w:val="7FD6A7E2"/>
    <w:multiLevelType w:val="singleLevel"/>
    <w:tmpl w:val="7FD6A7E2"/>
    <w:lvl w:ilvl="0" w:tentative="0">
      <w:start w:val="1"/>
      <w:numFmt w:val="decimal"/>
      <w:lvlText w:val="%1."/>
      <w:lvlJc w:val="left"/>
      <w:pPr>
        <w:tabs>
          <w:tab w:val="left" w:pos="312"/>
        </w:tabs>
      </w:pPr>
      <w:rPr>
        <w:rFonts w:cs="Times New Roman"/>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27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rFonts w:ascii="Times New Roman" w:hAnsi="Times New Roman" w:eastAsia="Times New Roman" w:cs="Times New Roman"/>
      <w:sz w:val="18"/>
      <w:szCs w:val="18"/>
    </w:rPr>
  </w:style>
  <w:style w:type="paragraph" w:styleId="4">
    <w:name w:val="Normal (Web)"/>
    <w:basedOn w:val="1"/>
    <w:uiPriority w:val="0"/>
    <w:pPr>
      <w:widowControl/>
      <w:spacing w:before="100" w:beforeAutospacing="1" w:after="100" w:afterAutospacing="1"/>
      <w:jc w:val="left"/>
    </w:pPr>
    <w:rPr>
      <w:rFonts w:ascii="??" w:hAnsi="??" w:eastAsia="Times New Roman" w:cs="??"/>
      <w:kern w:val="0"/>
      <w:sz w:val="24"/>
      <w:szCs w:val="24"/>
    </w:rPr>
  </w:style>
  <w:style w:type="paragraph" w:styleId="5">
    <w:name w:val="Body Text First Indent 2"/>
    <w:basedOn w:val="2"/>
    <w:uiPriority w:val="0"/>
    <w:pPr>
      <w:ind w:firstLine="420" w:firstLineChars="200"/>
    </w:pPr>
    <w:rPr>
      <w:rFonts w:ascii="Times New Roman" w:hAnsi="Times New Roman" w:eastAsia="仿宋_GB2312" w:cs="Times New Roman"/>
      <w:kern w:val="0"/>
      <w:sz w:val="32"/>
      <w:szCs w:val="20"/>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2021-09-24T08:13:06Z</dcterms:created>
  <dc:creator>Administrator</dc:creator>
  <cp:lastModifiedBy>Administrator</cp:lastModifiedBy>
  <dcterms:modified xsi:type="dcterms:W3CDTF">2021-09-24T08:14:28Z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